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6D" w:rsidRDefault="0033256D">
      <w:pPr>
        <w:pStyle w:val="ConsPlusTitlePage"/>
      </w:pPr>
      <w:r>
        <w:t xml:space="preserve">Документ предоставлен </w:t>
      </w:r>
      <w:hyperlink r:id="rId4">
        <w:r>
          <w:rPr>
            <w:color w:val="0000FF"/>
          </w:rPr>
          <w:t>КонсультантПлюс</w:t>
        </w:r>
      </w:hyperlink>
      <w:r>
        <w:br/>
      </w:r>
    </w:p>
    <w:p w:rsidR="0033256D" w:rsidRDefault="003325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256D">
        <w:tc>
          <w:tcPr>
            <w:tcW w:w="4677" w:type="dxa"/>
            <w:tcBorders>
              <w:top w:val="nil"/>
              <w:left w:val="nil"/>
              <w:bottom w:val="nil"/>
              <w:right w:val="nil"/>
            </w:tcBorders>
          </w:tcPr>
          <w:p w:rsidR="0033256D" w:rsidRDefault="0033256D">
            <w:pPr>
              <w:pStyle w:val="ConsPlusNormal"/>
            </w:pPr>
            <w:r>
              <w:t>1 марта 2022 года</w:t>
            </w:r>
          </w:p>
        </w:tc>
        <w:tc>
          <w:tcPr>
            <w:tcW w:w="4677" w:type="dxa"/>
            <w:tcBorders>
              <w:top w:val="nil"/>
              <w:left w:val="nil"/>
              <w:bottom w:val="nil"/>
              <w:right w:val="nil"/>
            </w:tcBorders>
          </w:tcPr>
          <w:p w:rsidR="0033256D" w:rsidRDefault="0033256D">
            <w:pPr>
              <w:pStyle w:val="ConsPlusNormal"/>
              <w:jc w:val="right"/>
            </w:pPr>
            <w:r>
              <w:t>N 81</w:t>
            </w:r>
          </w:p>
        </w:tc>
      </w:tr>
    </w:tbl>
    <w:p w:rsidR="0033256D" w:rsidRDefault="0033256D">
      <w:pPr>
        <w:pStyle w:val="ConsPlusNormal"/>
        <w:pBdr>
          <w:bottom w:val="single" w:sz="6" w:space="0" w:color="auto"/>
        </w:pBdr>
        <w:spacing w:before="100" w:after="100"/>
        <w:jc w:val="both"/>
        <w:rPr>
          <w:sz w:val="2"/>
          <w:szCs w:val="2"/>
        </w:rPr>
      </w:pPr>
    </w:p>
    <w:p w:rsidR="0033256D" w:rsidRDefault="0033256D">
      <w:pPr>
        <w:pStyle w:val="ConsPlusNormal"/>
        <w:jc w:val="both"/>
      </w:pPr>
    </w:p>
    <w:p w:rsidR="0033256D" w:rsidRDefault="0033256D">
      <w:pPr>
        <w:pStyle w:val="ConsPlusTitle"/>
        <w:jc w:val="center"/>
      </w:pPr>
      <w:r>
        <w:t>УКАЗ</w:t>
      </w:r>
    </w:p>
    <w:p w:rsidR="0033256D" w:rsidRDefault="0033256D">
      <w:pPr>
        <w:pStyle w:val="ConsPlusTitle"/>
        <w:jc w:val="center"/>
      </w:pPr>
    </w:p>
    <w:p w:rsidR="0033256D" w:rsidRDefault="0033256D">
      <w:pPr>
        <w:pStyle w:val="ConsPlusTitle"/>
        <w:jc w:val="center"/>
      </w:pPr>
      <w:r>
        <w:t>ПРЕЗИДЕНТА РОССИЙСКОЙ ФЕДЕРАЦИИ</w:t>
      </w:r>
    </w:p>
    <w:p w:rsidR="0033256D" w:rsidRDefault="0033256D">
      <w:pPr>
        <w:pStyle w:val="ConsPlusTitle"/>
        <w:jc w:val="center"/>
      </w:pPr>
    </w:p>
    <w:p w:rsidR="0033256D" w:rsidRDefault="0033256D">
      <w:pPr>
        <w:pStyle w:val="ConsPlusTitle"/>
        <w:jc w:val="center"/>
      </w:pPr>
      <w:r>
        <w:t>О ДОПОЛНИТЕЛЬНЫХ ВРЕМЕННЫХ МЕРАХ</w:t>
      </w:r>
    </w:p>
    <w:p w:rsidR="0033256D" w:rsidRDefault="0033256D">
      <w:pPr>
        <w:pStyle w:val="ConsPlusTitle"/>
        <w:jc w:val="center"/>
      </w:pPr>
      <w:r>
        <w:t>ЭКОНОМИЧЕСКОГО ХАРАКТЕРА ПО ОБЕСПЕЧЕНИЮ ФИНАНСОВОЙ</w:t>
      </w:r>
    </w:p>
    <w:p w:rsidR="0033256D" w:rsidRDefault="0033256D">
      <w:pPr>
        <w:pStyle w:val="ConsPlusTitle"/>
        <w:jc w:val="center"/>
      </w:pPr>
      <w:r>
        <w:t>СТАБИЛЬНОСТИ РОССИЙСКОЙ ФЕДЕРАЦИИ</w:t>
      </w:r>
    </w:p>
    <w:p w:rsidR="0033256D" w:rsidRDefault="003325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5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56D" w:rsidRDefault="003325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56D" w:rsidRDefault="003325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56D" w:rsidRDefault="0033256D">
            <w:pPr>
              <w:pStyle w:val="ConsPlusNormal"/>
              <w:jc w:val="center"/>
            </w:pPr>
            <w:r>
              <w:rPr>
                <w:color w:val="392C69"/>
              </w:rPr>
              <w:t>Список изменяющих документов</w:t>
            </w:r>
          </w:p>
          <w:p w:rsidR="0033256D" w:rsidRDefault="0033256D">
            <w:pPr>
              <w:pStyle w:val="ConsPlusNormal"/>
              <w:jc w:val="center"/>
            </w:pPr>
            <w:r>
              <w:rPr>
                <w:color w:val="392C69"/>
              </w:rPr>
              <w:t xml:space="preserve">(с изм., внесенными Указами Президента РФ от 05.03.2022 </w:t>
            </w:r>
            <w:hyperlink r:id="rId5">
              <w:r>
                <w:rPr>
                  <w:color w:val="0000FF"/>
                </w:rPr>
                <w:t>N 95</w:t>
              </w:r>
            </w:hyperlink>
            <w:r>
              <w:rPr>
                <w:color w:val="392C69"/>
              </w:rPr>
              <w:t>,</w:t>
            </w:r>
          </w:p>
          <w:p w:rsidR="0033256D" w:rsidRDefault="0033256D">
            <w:pPr>
              <w:pStyle w:val="ConsPlusNormal"/>
              <w:jc w:val="center"/>
            </w:pPr>
            <w:r>
              <w:rPr>
                <w:color w:val="392C69"/>
              </w:rPr>
              <w:t xml:space="preserve">от 08.03.2022 </w:t>
            </w:r>
            <w:hyperlink r:id="rId6">
              <w:r>
                <w:rPr>
                  <w:color w:val="0000FF"/>
                </w:rPr>
                <w:t>N 100</w:t>
              </w:r>
            </w:hyperlink>
            <w:r>
              <w:rPr>
                <w:color w:val="392C69"/>
              </w:rPr>
              <w:t xml:space="preserve">, от 18.03.2022 </w:t>
            </w:r>
            <w:hyperlink r:id="rId7">
              <w:r>
                <w:rPr>
                  <w:color w:val="0000FF"/>
                </w:rPr>
                <w:t>N 126</w:t>
              </w:r>
            </w:hyperlink>
            <w:r>
              <w:rPr>
                <w:color w:val="392C69"/>
              </w:rPr>
              <w:t xml:space="preserve">, от 31.03.2022 </w:t>
            </w:r>
            <w:hyperlink r:id="rId8">
              <w:r>
                <w:rPr>
                  <w:color w:val="0000FF"/>
                </w:rPr>
                <w:t>N 172</w:t>
              </w:r>
            </w:hyperlink>
            <w:r>
              <w:rPr>
                <w:color w:val="392C69"/>
              </w:rPr>
              <w:t>,</w:t>
            </w:r>
          </w:p>
          <w:p w:rsidR="0033256D" w:rsidRDefault="0033256D">
            <w:pPr>
              <w:pStyle w:val="ConsPlusNormal"/>
              <w:jc w:val="center"/>
            </w:pPr>
            <w:r>
              <w:rPr>
                <w:color w:val="392C69"/>
              </w:rPr>
              <w:t xml:space="preserve">от 04.05.2022 </w:t>
            </w:r>
            <w:hyperlink r:id="rId9">
              <w:r>
                <w:rPr>
                  <w:color w:val="0000FF"/>
                </w:rPr>
                <w:t>N 254</w:t>
              </w:r>
            </w:hyperlink>
            <w:r>
              <w:rPr>
                <w:color w:val="392C69"/>
              </w:rPr>
              <w:t xml:space="preserve">, от 27.05.2022 </w:t>
            </w:r>
            <w:hyperlink r:id="rId10">
              <w:r>
                <w:rPr>
                  <w:color w:val="0000FF"/>
                </w:rPr>
                <w:t>N 322</w:t>
              </w:r>
            </w:hyperlink>
            <w:r>
              <w:rPr>
                <w:color w:val="392C69"/>
              </w:rPr>
              <w:t xml:space="preserve">, от 05.07.2022 </w:t>
            </w:r>
            <w:hyperlink r:id="rId11">
              <w:r>
                <w:rPr>
                  <w:color w:val="0000FF"/>
                </w:rPr>
                <w:t>N 430</w:t>
              </w:r>
            </w:hyperlink>
            <w:r>
              <w:rPr>
                <w:color w:val="392C69"/>
              </w:rPr>
              <w:t>,</w:t>
            </w:r>
          </w:p>
          <w:p w:rsidR="0033256D" w:rsidRDefault="0033256D">
            <w:pPr>
              <w:pStyle w:val="ConsPlusNormal"/>
              <w:jc w:val="center"/>
            </w:pPr>
            <w:r>
              <w:rPr>
                <w:color w:val="392C69"/>
              </w:rPr>
              <w:t xml:space="preserve">от 08.08.2022 </w:t>
            </w:r>
            <w:hyperlink r:id="rId12">
              <w:r>
                <w:rPr>
                  <w:color w:val="0000FF"/>
                </w:rPr>
                <w:t>N 529</w:t>
              </w:r>
            </w:hyperlink>
            <w:r>
              <w:rPr>
                <w:color w:val="392C69"/>
              </w:rPr>
              <w:t xml:space="preserve">, от 08.09.2022 </w:t>
            </w:r>
            <w:hyperlink r:id="rId13">
              <w:r>
                <w:rPr>
                  <w:color w:val="0000FF"/>
                </w:rPr>
                <w:t>N 618</w:t>
              </w:r>
            </w:hyperlink>
            <w:r>
              <w:rPr>
                <w:color w:val="392C69"/>
              </w:rPr>
              <w:t xml:space="preserve">, от 15.10.2022 </w:t>
            </w:r>
            <w:hyperlink r:id="rId14">
              <w:r>
                <w:rPr>
                  <w:color w:val="0000FF"/>
                </w:rPr>
                <w:t>N 737</w:t>
              </w:r>
            </w:hyperlink>
            <w:r>
              <w:rPr>
                <w:color w:val="392C69"/>
              </w:rPr>
              <w:t>,</w:t>
            </w:r>
          </w:p>
          <w:p w:rsidR="0033256D" w:rsidRDefault="0033256D">
            <w:pPr>
              <w:pStyle w:val="ConsPlusNormal"/>
              <w:jc w:val="center"/>
            </w:pPr>
            <w:r>
              <w:rPr>
                <w:color w:val="392C69"/>
              </w:rPr>
              <w:t xml:space="preserve">от 03.03.2023 </w:t>
            </w:r>
            <w:hyperlink r:id="rId15">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56D" w:rsidRDefault="0033256D">
            <w:pPr>
              <w:pStyle w:val="ConsPlusNormal"/>
            </w:pPr>
          </w:p>
        </w:tc>
      </w:tr>
    </w:tbl>
    <w:p w:rsidR="0033256D" w:rsidRDefault="0033256D">
      <w:pPr>
        <w:pStyle w:val="ConsPlusNormal"/>
        <w:jc w:val="both"/>
      </w:pPr>
    </w:p>
    <w:p w:rsidR="0033256D" w:rsidRDefault="0033256D">
      <w:pPr>
        <w:pStyle w:val="ConsPlusNormal"/>
        <w:ind w:firstLine="540"/>
        <w:jc w:val="both"/>
      </w:pPr>
      <w:r>
        <w:t xml:space="preserve">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 связанными с введением ограничительных мер в отношении граждан Российской Федерации и российских юридических лиц, в целях защиты национальных интересов Российской Федерации, обеспечения ее финансовой стабильности и в соответствии с федеральными законами от 30 декабря 2006 г. </w:t>
      </w:r>
      <w:hyperlink r:id="rId16">
        <w:r>
          <w:rPr>
            <w:color w:val="0000FF"/>
          </w:rPr>
          <w:t>N 281-ФЗ</w:t>
        </w:r>
      </w:hyperlink>
      <w:r>
        <w:t xml:space="preserve"> "О специальных экономических мерах и принудительных мерах", от 28 декабря 2010 г. </w:t>
      </w:r>
      <w:hyperlink r:id="rId17">
        <w:r>
          <w:rPr>
            <w:color w:val="0000FF"/>
          </w:rPr>
          <w:t>N 390-ФЗ</w:t>
        </w:r>
      </w:hyperlink>
      <w:r>
        <w:t xml:space="preserve"> "О безопасности" и от 4 июня 2018 г. </w:t>
      </w:r>
      <w:hyperlink r:id="rId18">
        <w:r>
          <w:rPr>
            <w:color w:val="0000FF"/>
          </w:rPr>
          <w:t>N 127-ФЗ</w:t>
        </w:r>
      </w:hyperlink>
      <w:r>
        <w:t xml:space="preserve"> "О мерах воздействия (противодействия) на недружественные действия Соединенных Штатов Америки и иных иностранных государств" постановляю:</w:t>
      </w:r>
    </w:p>
    <w:p w:rsidR="0033256D" w:rsidRDefault="0033256D">
      <w:pPr>
        <w:pStyle w:val="ConsPlusNormal"/>
        <w:spacing w:before="220"/>
        <w:ind w:firstLine="540"/>
        <w:jc w:val="both"/>
      </w:pPr>
      <w:r>
        <w:t>1. Принять следующие дополнительные временные меры экономического характера по обеспечению финансовой стабильности Российской Федерации:</w:t>
      </w:r>
    </w:p>
    <w:p w:rsidR="0033256D" w:rsidRDefault="0033256D">
      <w:pPr>
        <w:pStyle w:val="ConsPlusNormal"/>
        <w:spacing w:before="220"/>
        <w:ind w:firstLine="540"/>
        <w:jc w:val="both"/>
      </w:pPr>
      <w:bookmarkStart w:id="0" w:name="P20"/>
      <w:bookmarkEnd w:id="0"/>
      <w:r>
        <w:t xml:space="preserve">а) установить со 2 марта 2022 г. особый порядок осуществления (исполнения) резидентами следующих сделок (операций) с иностранными лицами, связанными с иностранными </w:t>
      </w:r>
      <w:hyperlink r:id="rId19">
        <w:r>
          <w:rPr>
            <w:color w:val="0000FF"/>
          </w:rPr>
          <w:t>государствами</w:t>
        </w:r>
      </w:hyperlink>
      <w:r>
        <w:t>,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с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(далее - лица иностранных государств, совершающих недружественные действия):</w:t>
      </w:r>
    </w:p>
    <w:p w:rsidR="0033256D" w:rsidRDefault="0033256D">
      <w:pPr>
        <w:pStyle w:val="ConsPlusNormal"/>
        <w:spacing w:before="220"/>
        <w:ind w:firstLine="540"/>
        <w:jc w:val="both"/>
      </w:pPr>
      <w:r>
        <w:t>сделки (операции) по предоставлению лицам иностранных государств, совершающих недружественные действия, кредитов и займов (в рублях), за исключением случаев, если предоставление кредитов и займов запрещено в соответствии с нормативными правовыми актами Российской Федерации;</w:t>
      </w:r>
    </w:p>
    <w:p w:rsidR="0033256D" w:rsidRDefault="0033256D">
      <w:pPr>
        <w:pStyle w:val="ConsPlusNormal"/>
        <w:spacing w:before="220"/>
        <w:ind w:firstLine="540"/>
        <w:jc w:val="both"/>
      </w:pPr>
      <w:bookmarkStart w:id="1" w:name="P22"/>
      <w:bookmarkEnd w:id="1"/>
      <w:r>
        <w:t>сделки (операции), влекущие за собой возникновение права собственности на ценные бумаги и недвижимое имущество, осуществляемые (исполняемые) с лицами иностранных государств, совершающих недружественные действия;</w:t>
      </w:r>
    </w:p>
    <w:p w:rsidR="0033256D" w:rsidRDefault="003325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5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56D" w:rsidRDefault="003325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56D" w:rsidRDefault="003325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56D" w:rsidRDefault="0033256D">
            <w:pPr>
              <w:pStyle w:val="ConsPlusNormal"/>
              <w:jc w:val="both"/>
            </w:pPr>
            <w:r>
              <w:rPr>
                <w:color w:val="392C69"/>
              </w:rPr>
              <w:t>КонсультантПлюс: примечание.</w:t>
            </w:r>
          </w:p>
          <w:p w:rsidR="0033256D" w:rsidRDefault="0033256D">
            <w:pPr>
              <w:pStyle w:val="ConsPlusNormal"/>
              <w:jc w:val="both"/>
            </w:pPr>
            <w:r>
              <w:rPr>
                <w:color w:val="392C69"/>
              </w:rPr>
              <w:t xml:space="preserve">О применении пп. "б" п. 1 к сделкам с российскими ценными бумагами и еврооблигациями, совершаемым резидентами или лицами под их контролем, с лицами недружественных иностранных государств, см. </w:t>
            </w:r>
            <w:hyperlink r:id="rId20">
              <w:r>
                <w:rPr>
                  <w:color w:val="0000FF"/>
                </w:rPr>
                <w:t>Указ</w:t>
              </w:r>
            </w:hyperlink>
            <w:r>
              <w:rPr>
                <w:color w:val="392C69"/>
              </w:rPr>
              <w:t xml:space="preserve"> Президента РФ от 03.03.2023 N 138.</w:t>
            </w:r>
          </w:p>
        </w:tc>
        <w:tc>
          <w:tcPr>
            <w:tcW w:w="113" w:type="dxa"/>
            <w:tcBorders>
              <w:top w:val="nil"/>
              <w:left w:val="nil"/>
              <w:bottom w:val="nil"/>
              <w:right w:val="nil"/>
            </w:tcBorders>
            <w:shd w:val="clear" w:color="auto" w:fill="F4F3F8"/>
            <w:tcMar>
              <w:top w:w="0" w:type="dxa"/>
              <w:left w:w="0" w:type="dxa"/>
              <w:bottom w:w="0" w:type="dxa"/>
              <w:right w:w="0" w:type="dxa"/>
            </w:tcMar>
          </w:tcPr>
          <w:p w:rsidR="0033256D" w:rsidRDefault="0033256D">
            <w:pPr>
              <w:pStyle w:val="ConsPlusNormal"/>
            </w:pPr>
          </w:p>
        </w:tc>
      </w:tr>
    </w:tbl>
    <w:p w:rsidR="0033256D" w:rsidRDefault="0033256D">
      <w:pPr>
        <w:pStyle w:val="ConsPlusNormal"/>
        <w:spacing w:before="280"/>
        <w:ind w:firstLine="540"/>
        <w:jc w:val="both"/>
      </w:pPr>
      <w:bookmarkStart w:id="2" w:name="P25"/>
      <w:bookmarkEnd w:id="2"/>
      <w:r>
        <w:t xml:space="preserve">б) сделки (операции), предусмотренные </w:t>
      </w:r>
      <w:hyperlink w:anchor="P20">
        <w:r>
          <w:rPr>
            <w:color w:val="0000FF"/>
          </w:rPr>
          <w:t>подпунктом "а"</w:t>
        </w:r>
      </w:hyperlink>
      <w:r>
        <w:t xml:space="preserve"> настоящего пункта и </w:t>
      </w:r>
      <w:hyperlink r:id="rId21">
        <w:r>
          <w:rPr>
            <w:color w:val="0000FF"/>
          </w:rPr>
          <w:t>пунктом 3</w:t>
        </w:r>
      </w:hyperlink>
      <w:r>
        <w:t xml:space="preserve"> Указа Президента Российской Федерации от 28 февраля 2022 г. N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могут осуществляться (исполняться)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w:t>
      </w:r>
    </w:p>
    <w:p w:rsidR="0033256D" w:rsidRDefault="0033256D">
      <w:pPr>
        <w:pStyle w:val="ConsPlusNormal"/>
        <w:spacing w:before="220"/>
        <w:ind w:firstLine="540"/>
        <w:jc w:val="both"/>
      </w:pPr>
      <w:r>
        <w:t xml:space="preserve">в) сделки (операции), предусмотренные </w:t>
      </w:r>
      <w:hyperlink w:anchor="P20">
        <w:r>
          <w:rPr>
            <w:color w:val="0000FF"/>
          </w:rPr>
          <w:t>подпунктом "а"</w:t>
        </w:r>
      </w:hyperlink>
      <w:r>
        <w:t xml:space="preserve"> настоящего пункта, с иностранными лицами, не являющимися лицами иностранных государств, совершающих недружественные действия, если предметом сделок (операций) являются ценные бумаги и недвижимое имущество, приобретенные после 22 февраля 2022 г. указанными иностранными лицами у лиц иностранных государств, совершающих недружественные действия, осуществляются (исполняются) в порядке, установленном настоящим Указом;</w:t>
      </w:r>
    </w:p>
    <w:p w:rsidR="0033256D" w:rsidRDefault="0033256D">
      <w:pPr>
        <w:pStyle w:val="ConsPlusNormal"/>
        <w:spacing w:before="220"/>
        <w:ind w:firstLine="540"/>
        <w:jc w:val="both"/>
      </w:pPr>
      <w:r>
        <w:t xml:space="preserve">г) сделки (операции), влекущие за собой возникновение права собственности на ценные бумаги в соответствии с </w:t>
      </w:r>
      <w:hyperlink w:anchor="P22">
        <w:r>
          <w:rPr>
            <w:color w:val="0000FF"/>
          </w:rPr>
          <w:t>абзацем третьим подпункта "а"</w:t>
        </w:r>
      </w:hyperlink>
      <w:r>
        <w:t xml:space="preserve"> настоящего пункта, могут осуществляться на организованных торгах на основании разрешений, выдаваемых Центральным банком Российской Федерации по согласованию с Министерством финансов Российской Федерации и содержащих условия осуществления (исполнения) таких сделок (операций);</w:t>
      </w:r>
    </w:p>
    <w:p w:rsidR="0033256D" w:rsidRDefault="0033256D">
      <w:pPr>
        <w:pStyle w:val="ConsPlusNormal"/>
        <w:spacing w:before="220"/>
        <w:ind w:firstLine="540"/>
        <w:jc w:val="both"/>
      </w:pPr>
      <w:r>
        <w:t>д) порядок осуществления (исполнения) сделок (операций), предусмотренный настоящим Указом, не распространяется на сделки (операции), стороной которых является Центральный банк Российской Федерации и государственные органы;</w:t>
      </w:r>
    </w:p>
    <w:p w:rsidR="0033256D" w:rsidRDefault="0033256D">
      <w:pPr>
        <w:pStyle w:val="ConsPlusNormal"/>
        <w:spacing w:before="220"/>
        <w:ind w:firstLine="540"/>
        <w:jc w:val="both"/>
      </w:pPr>
      <w:r>
        <w:t>е) кредитные организации вправе осуществлять переводы денежных средств в иностранной валюте на корреспондентские счета в банках-нерезидентах с учетом ограничений, предусмотренных настоящим Указом;</w:t>
      </w:r>
    </w:p>
    <w:p w:rsidR="0033256D" w:rsidRDefault="0033256D">
      <w:pPr>
        <w:pStyle w:val="ConsPlusNormal"/>
        <w:spacing w:before="220"/>
        <w:ind w:firstLine="540"/>
        <w:jc w:val="both"/>
      </w:pPr>
      <w:r>
        <w:t>ж) запретить со 2 марта 2022 г. вывоз из Российской Федерации наличной иностранной валюты и (или) денежных инструментов в иностранной валюте в сумме, превышающей эквивалент 10 тыс. долларов США и рассчитанной по официальному курсу Центрального банка Российской Федерации, установленному на дату вывоза.</w:t>
      </w:r>
    </w:p>
    <w:p w:rsidR="0033256D" w:rsidRDefault="0033256D">
      <w:pPr>
        <w:pStyle w:val="ConsPlusNormal"/>
        <w:spacing w:before="220"/>
        <w:ind w:firstLine="540"/>
        <w:jc w:val="both"/>
      </w:pPr>
      <w:r>
        <w:t xml:space="preserve">2. Правительству Российской Федерации в 5-дневный срок утвердить </w:t>
      </w:r>
      <w:hyperlink r:id="rId22">
        <w:r>
          <w:rPr>
            <w:color w:val="0000FF"/>
          </w:rPr>
          <w:t>порядок</w:t>
        </w:r>
      </w:hyperlink>
      <w:r>
        <w:t xml:space="preserve"> выдачи Правительственной комиссией по контролю за осуществлением иностранных инвестиций в Российской Федерации разрешений, предусмотренных </w:t>
      </w:r>
      <w:hyperlink w:anchor="P25">
        <w:r>
          <w:rPr>
            <w:color w:val="0000FF"/>
          </w:rPr>
          <w:t>подпунктом "б" пункта 1</w:t>
        </w:r>
      </w:hyperlink>
      <w:r>
        <w:t xml:space="preserve"> настоящего Указа.</w:t>
      </w:r>
    </w:p>
    <w:p w:rsidR="0033256D" w:rsidRDefault="0033256D">
      <w:pPr>
        <w:pStyle w:val="ConsPlusNormal"/>
        <w:spacing w:before="220"/>
        <w:ind w:firstLine="540"/>
        <w:jc w:val="both"/>
      </w:pPr>
      <w:r>
        <w:t>3. Настоящий Указ вступает в силу со дня его официального опубликования.</w:t>
      </w:r>
    </w:p>
    <w:p w:rsidR="0033256D" w:rsidRDefault="0033256D">
      <w:pPr>
        <w:pStyle w:val="ConsPlusNormal"/>
        <w:jc w:val="both"/>
      </w:pPr>
    </w:p>
    <w:p w:rsidR="0033256D" w:rsidRDefault="0033256D">
      <w:pPr>
        <w:pStyle w:val="ConsPlusNormal"/>
        <w:jc w:val="right"/>
      </w:pPr>
      <w:r>
        <w:t>Президент</w:t>
      </w:r>
    </w:p>
    <w:p w:rsidR="0033256D" w:rsidRDefault="0033256D">
      <w:pPr>
        <w:pStyle w:val="ConsPlusNormal"/>
        <w:jc w:val="right"/>
      </w:pPr>
      <w:r>
        <w:t>Российской Федерации</w:t>
      </w:r>
    </w:p>
    <w:p w:rsidR="0033256D" w:rsidRDefault="0033256D">
      <w:pPr>
        <w:pStyle w:val="ConsPlusNormal"/>
        <w:jc w:val="right"/>
      </w:pPr>
      <w:r>
        <w:t>В.ПУТИН</w:t>
      </w:r>
    </w:p>
    <w:p w:rsidR="0033256D" w:rsidRDefault="0033256D">
      <w:pPr>
        <w:pStyle w:val="ConsPlusNormal"/>
      </w:pPr>
      <w:r>
        <w:t>Москва, Кремль</w:t>
      </w:r>
    </w:p>
    <w:p w:rsidR="0033256D" w:rsidRDefault="0033256D">
      <w:pPr>
        <w:pStyle w:val="ConsPlusNormal"/>
        <w:spacing w:before="220"/>
      </w:pPr>
      <w:r>
        <w:t>1 марта 2022 года</w:t>
      </w:r>
    </w:p>
    <w:p w:rsidR="0033256D" w:rsidRDefault="0033256D">
      <w:pPr>
        <w:pStyle w:val="ConsPlusNormal"/>
        <w:spacing w:before="220"/>
      </w:pPr>
      <w:r>
        <w:t>N 81</w:t>
      </w:r>
    </w:p>
    <w:p w:rsidR="0033256D" w:rsidRDefault="0033256D">
      <w:pPr>
        <w:pStyle w:val="ConsPlusNormal"/>
        <w:jc w:val="both"/>
      </w:pPr>
    </w:p>
    <w:p w:rsidR="0033256D" w:rsidRDefault="0033256D">
      <w:pPr>
        <w:pStyle w:val="ConsPlusNormal"/>
        <w:jc w:val="both"/>
      </w:pPr>
    </w:p>
    <w:p w:rsidR="0033256D" w:rsidRDefault="0033256D">
      <w:pPr>
        <w:pStyle w:val="ConsPlusNormal"/>
        <w:pBdr>
          <w:bottom w:val="single" w:sz="6" w:space="0" w:color="auto"/>
        </w:pBdr>
        <w:spacing w:before="100" w:after="100"/>
        <w:jc w:val="both"/>
        <w:rPr>
          <w:sz w:val="2"/>
          <w:szCs w:val="2"/>
        </w:rPr>
      </w:pPr>
    </w:p>
    <w:p w:rsidR="00C43B99" w:rsidRDefault="00C43B99">
      <w:bookmarkStart w:id="3" w:name="_GoBack"/>
      <w:bookmarkEnd w:id="3"/>
    </w:p>
    <w:sectPr w:rsidR="00C43B99" w:rsidSect="00AA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D"/>
    <w:rsid w:val="0033256D"/>
    <w:rsid w:val="00C4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CB91C-7E84-4BCD-9B52-56E34082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5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25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25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C605A54DAA50E937F1CAB4DB55BCBEA8F5768B38841B5C2EFE3B514AA1B3779F3DAAB9B10B3F97810F36800C993FE723H" TargetMode="External"/><Relationship Id="rId13" Type="http://schemas.openxmlformats.org/officeDocument/2006/relationships/hyperlink" Target="consultantplus://offline/ref=0AFF66F2CC28E4052014C605A54DAA50E936F1CDB8D855BCBEA8F5768B38841B5C2EFE3B514AA1B3779F3DAAB9B10B3F97810F36800C993FE723H" TargetMode="External"/><Relationship Id="rId18" Type="http://schemas.openxmlformats.org/officeDocument/2006/relationships/hyperlink" Target="consultantplus://offline/ref=0AFF66F2CC28E4052014C605A54DAA50E936F7CABFD855BCBEA8F5768B38841B5C2EFE3B514AA1B1739F3DAAB9B10B3F97810F36800C993FE723H" TargetMode="External"/><Relationship Id="rId3" Type="http://schemas.openxmlformats.org/officeDocument/2006/relationships/webSettings" Target="webSettings.xml"/><Relationship Id="rId21" Type="http://schemas.openxmlformats.org/officeDocument/2006/relationships/hyperlink" Target="consultantplus://offline/ref=0AFF66F2CC28E4052014C605A54DAA50E935FFC7BFDE55BCBEA8F5768B38841B5C2EFE3B514AA1B3789F3DAAB9B10B3F97810F36800C993FE723H" TargetMode="External"/><Relationship Id="rId7" Type="http://schemas.openxmlformats.org/officeDocument/2006/relationships/hyperlink" Target="consultantplus://offline/ref=0AFF66F2CC28E4052014C605A54DAA50E937F5CEB4D755BCBEA8F5768B38841B5C2EFE3B514AA1B3769F3DAAB9B10B3F97810F36800C993FE723H" TargetMode="External"/><Relationship Id="rId12" Type="http://schemas.openxmlformats.org/officeDocument/2006/relationships/hyperlink" Target="consultantplus://offline/ref=0AFF66F2CC28E4052014C605A54DAA50E936F3CFBDDE55BCBEA8F5768B38841B5C2EFE3B514AA1B3779F3DAAB9B10B3F97810F36800C993FE723H" TargetMode="External"/><Relationship Id="rId17" Type="http://schemas.openxmlformats.org/officeDocument/2006/relationships/hyperlink" Target="consultantplus://offline/ref=0AFF66F2CC28E4052014C605A54DAA50E930F1CEBBDA55BCBEA8F5768B38841B5C2EFE3B514AA1B6799F3DAAB9B10B3F97810F36800C993FE723H" TargetMode="External"/><Relationship Id="rId2" Type="http://schemas.openxmlformats.org/officeDocument/2006/relationships/settings" Target="settings.xml"/><Relationship Id="rId16" Type="http://schemas.openxmlformats.org/officeDocument/2006/relationships/hyperlink" Target="consultantplus://offline/ref=0AFF66F2CC28E4052014C605A54DAA50E936F7CABCD755BCBEA8F5768B38841B5C2EFE3B514AA1B2789F3DAAB9B10B3F97810F36800C993FE723H" TargetMode="External"/><Relationship Id="rId20" Type="http://schemas.openxmlformats.org/officeDocument/2006/relationships/hyperlink" Target="consultantplus://offline/ref=0AFF66F2CC28E4052014C605A54DAA50E930F6CFBCDE55BCBEA8F5768B38841B5C2EFE3B514AA1B0759F3DAAB9B10B3F97810F36800C993FE723H" TargetMode="External"/><Relationship Id="rId1" Type="http://schemas.openxmlformats.org/officeDocument/2006/relationships/styles" Target="styles.xml"/><Relationship Id="rId6" Type="http://schemas.openxmlformats.org/officeDocument/2006/relationships/hyperlink" Target="consultantplus://offline/ref=0AFF66F2CC28E4052014C605A54DAA50E937F1CCBDD655BCBEA8F5768B38841B5C2EFE3B514AA1B3769F3DAAB9B10B3F97810F36800C993FE723H" TargetMode="External"/><Relationship Id="rId11" Type="http://schemas.openxmlformats.org/officeDocument/2006/relationships/hyperlink" Target="consultantplus://offline/ref=0AFF66F2CC28E4052014C605A54DAA50E930F0C8BDD855BCBEA8F5768B38841B5C2EFE3B514AA1B3779F3DAAB9B10B3F97810F36800C993FE723H" TargetMode="External"/><Relationship Id="rId24" Type="http://schemas.openxmlformats.org/officeDocument/2006/relationships/theme" Target="theme/theme1.xml"/><Relationship Id="rId5" Type="http://schemas.openxmlformats.org/officeDocument/2006/relationships/hyperlink" Target="consultantplus://offline/ref=0AFF66F2CC28E4052014C605A54DAA50E935F7C6B4DB55BCBEA8F5768B38841B5C2EFE3B514AA1B3769F3DAAB9B10B3F97810F36800C993FE723H" TargetMode="External"/><Relationship Id="rId15" Type="http://schemas.openxmlformats.org/officeDocument/2006/relationships/hyperlink" Target="consultantplus://offline/ref=0AFF66F2CC28E4052014C605A54DAA50E930F6CFBCDE55BCBEA8F5768B38841B5C2EFE3B514AA1B0759F3DAAB9B10B3F97810F36800C993FE723H" TargetMode="External"/><Relationship Id="rId23" Type="http://schemas.openxmlformats.org/officeDocument/2006/relationships/fontTable" Target="fontTable.xml"/><Relationship Id="rId10" Type="http://schemas.openxmlformats.org/officeDocument/2006/relationships/hyperlink" Target="consultantplus://offline/ref=0AFF66F2CC28E4052014C605A54DAA50E935F0C7BCD755BCBEA8F5768B38841B5C2EFE3B514AA1B3779F3DAAB9B10B3F97810F36800C993FE723H" TargetMode="External"/><Relationship Id="rId19" Type="http://schemas.openxmlformats.org/officeDocument/2006/relationships/hyperlink" Target="consultantplus://offline/ref=0AFF66F2CC28E4052014C605A54DAA50E937F7CDBFD855BCBEA8F5768B38841B5C2EFE3B514AA1B3799F3DAAB9B10B3F97810F36800C993FE72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FF66F2CC28E4052014C605A54DAA50E935F1CCBBDE55BCBEA8F5768B38841B5C2EFE3B514AA1B3779F3DAAB9B10B3F97810F36800C993FE723H" TargetMode="External"/><Relationship Id="rId14" Type="http://schemas.openxmlformats.org/officeDocument/2006/relationships/hyperlink" Target="consultantplus://offline/ref=0AFF66F2CC28E4052014C605A54DAA50E936FECFBCD855BCBEA8F5768B38841B5C2EFE3B514AA1B3779F3DAAB9B10B3F97810F36800C993FE723H" TargetMode="External"/><Relationship Id="rId22" Type="http://schemas.openxmlformats.org/officeDocument/2006/relationships/hyperlink" Target="consultantplus://offline/ref=0AFF66F2CC28E4052014C605A54DAA50E930F5CAB8D755BCBEA8F5768B38841B5C2EFE3B514AA1B2709F3DAAB9B10B3F97810F36800C993FE7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2023-06-14T07:54:00Z</dcterms:created>
  <dcterms:modified xsi:type="dcterms:W3CDTF">2023-06-14T07:54:00Z</dcterms:modified>
</cp:coreProperties>
</file>